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09" w:rsidRPr="005A6C02" w:rsidRDefault="00375E09" w:rsidP="00BC20B9">
      <w:pPr>
        <w:spacing w:line="360" w:lineRule="auto"/>
        <w:rPr>
          <w:rFonts w:cs="宋体"/>
          <w:sz w:val="24"/>
          <w:szCs w:val="24"/>
        </w:rPr>
      </w:pPr>
      <w:r w:rsidRPr="005615CE">
        <w:rPr>
          <w:rFonts w:asciiTheme="minorEastAsia" w:eastAsiaTheme="minorEastAsia" w:hAnsiTheme="minorEastAsia" w:cs="宋体" w:hint="eastAsia"/>
          <w:sz w:val="24"/>
          <w:szCs w:val="24"/>
        </w:rPr>
        <w:t>股票代码：</w:t>
      </w:r>
      <w:r w:rsidRPr="005615CE">
        <w:rPr>
          <w:rFonts w:asciiTheme="minorEastAsia" w:eastAsiaTheme="minorEastAsia" w:hAnsiTheme="minorEastAsia"/>
          <w:sz w:val="24"/>
          <w:szCs w:val="24"/>
        </w:rPr>
        <w:t xml:space="preserve">002449          </w:t>
      </w:r>
      <w:r w:rsidRPr="005615CE">
        <w:rPr>
          <w:rFonts w:asciiTheme="minorEastAsia" w:eastAsiaTheme="minorEastAsia" w:hAnsiTheme="minorEastAsia" w:cs="宋体" w:hint="eastAsia"/>
          <w:sz w:val="24"/>
          <w:szCs w:val="24"/>
        </w:rPr>
        <w:t>股票简称：国</w:t>
      </w:r>
      <w:proofErr w:type="gramStart"/>
      <w:r w:rsidRPr="005615CE">
        <w:rPr>
          <w:rFonts w:asciiTheme="minorEastAsia" w:eastAsiaTheme="minorEastAsia" w:hAnsiTheme="minorEastAsia" w:cs="宋体" w:hint="eastAsia"/>
          <w:sz w:val="24"/>
          <w:szCs w:val="24"/>
        </w:rPr>
        <w:t>星光电</w:t>
      </w:r>
      <w:proofErr w:type="gramEnd"/>
      <w:r w:rsidRPr="005615CE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5615CE">
        <w:rPr>
          <w:rFonts w:asciiTheme="minorEastAsia" w:eastAsiaTheme="minorEastAsia" w:hAnsiTheme="minorEastAsia" w:cs="宋体"/>
          <w:sz w:val="24"/>
          <w:szCs w:val="24"/>
        </w:rPr>
        <w:t xml:space="preserve">         </w:t>
      </w:r>
      <w:r w:rsidRPr="005A6C02">
        <w:rPr>
          <w:rFonts w:cs="宋体" w:hint="eastAsia"/>
          <w:sz w:val="24"/>
          <w:szCs w:val="24"/>
        </w:rPr>
        <w:t>公告编号：</w:t>
      </w:r>
      <w:r w:rsidR="006B4FD7" w:rsidRPr="005A6C02">
        <w:rPr>
          <w:rFonts w:cs="宋体"/>
          <w:sz w:val="24"/>
          <w:szCs w:val="24"/>
        </w:rPr>
        <w:t>201</w:t>
      </w:r>
      <w:r w:rsidR="00E545A4" w:rsidRPr="005A6C02">
        <w:rPr>
          <w:rFonts w:cs="宋体" w:hint="eastAsia"/>
          <w:sz w:val="24"/>
          <w:szCs w:val="24"/>
        </w:rPr>
        <w:t>7</w:t>
      </w:r>
      <w:r w:rsidRPr="005A6C02">
        <w:rPr>
          <w:rFonts w:cs="宋体"/>
          <w:sz w:val="24"/>
          <w:szCs w:val="24"/>
        </w:rPr>
        <w:t>-</w:t>
      </w:r>
      <w:r w:rsidR="005A6C02" w:rsidRPr="005A6C02">
        <w:rPr>
          <w:rFonts w:cs="宋体"/>
          <w:sz w:val="24"/>
          <w:szCs w:val="24"/>
        </w:rPr>
        <w:t>0</w:t>
      </w:r>
      <w:r w:rsidR="005A6C02" w:rsidRPr="005A6C02">
        <w:rPr>
          <w:rFonts w:cs="宋体" w:hint="eastAsia"/>
          <w:sz w:val="24"/>
          <w:szCs w:val="24"/>
        </w:rPr>
        <w:t>1</w:t>
      </w:r>
      <w:r w:rsidR="005A6C02" w:rsidRPr="005A6C02">
        <w:rPr>
          <w:rFonts w:cs="宋体" w:hint="eastAsia"/>
          <w:sz w:val="24"/>
          <w:szCs w:val="24"/>
        </w:rPr>
        <w:t>2</w:t>
      </w:r>
    </w:p>
    <w:p w:rsidR="00375E09" w:rsidRPr="001E577B" w:rsidRDefault="00375E09" w:rsidP="00BC20B9">
      <w:pPr>
        <w:spacing w:line="360" w:lineRule="auto"/>
        <w:rPr>
          <w:sz w:val="24"/>
          <w:szCs w:val="24"/>
        </w:rPr>
      </w:pPr>
    </w:p>
    <w:p w:rsidR="00375E09" w:rsidRPr="008D438E" w:rsidRDefault="00375E09" w:rsidP="00BC20B9">
      <w:pPr>
        <w:spacing w:line="360" w:lineRule="auto"/>
        <w:jc w:val="center"/>
        <w:rPr>
          <w:sz w:val="32"/>
          <w:szCs w:val="32"/>
        </w:rPr>
      </w:pPr>
      <w:r w:rsidRPr="00CE2DDE">
        <w:rPr>
          <w:rFonts w:cs="宋体" w:hint="eastAsia"/>
          <w:sz w:val="32"/>
          <w:szCs w:val="32"/>
        </w:rPr>
        <w:t>佛山市国</w:t>
      </w:r>
      <w:proofErr w:type="gramStart"/>
      <w:r w:rsidRPr="00CE2DDE">
        <w:rPr>
          <w:rFonts w:cs="宋体" w:hint="eastAsia"/>
          <w:sz w:val="32"/>
          <w:szCs w:val="32"/>
        </w:rPr>
        <w:t>星光电</w:t>
      </w:r>
      <w:proofErr w:type="gramEnd"/>
      <w:r w:rsidRPr="00CE2DDE">
        <w:rPr>
          <w:rFonts w:cs="宋体" w:hint="eastAsia"/>
          <w:sz w:val="32"/>
          <w:szCs w:val="32"/>
        </w:rPr>
        <w:t>股份有限公司</w:t>
      </w:r>
    </w:p>
    <w:p w:rsidR="00375E09" w:rsidRPr="00FB1C4D" w:rsidRDefault="00375E09" w:rsidP="00FB1C4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210767">
        <w:rPr>
          <w:rFonts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年第一季度业绩预告</w:t>
      </w:r>
    </w:p>
    <w:p w:rsidR="00375E09" w:rsidRPr="00CE2DDE" w:rsidRDefault="00375E09" w:rsidP="00BC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本公司及董事会全体成员保证公告内容真实、准确、完整，并对公告中的虚假记载、误导性陈述或者重大遗漏承担责任。</w:t>
      </w:r>
    </w:p>
    <w:p w:rsidR="00375E09" w:rsidRPr="008D438E" w:rsidRDefault="00375E09" w:rsidP="00BC20B9">
      <w:pPr>
        <w:pStyle w:val="Default"/>
        <w:rPr>
          <w:rFonts w:cs="Times New Roman"/>
        </w:rPr>
      </w:pPr>
    </w:p>
    <w:p w:rsidR="00375E09" w:rsidRPr="00C54645" w:rsidRDefault="00375E09" w:rsidP="00C54645">
      <w:pPr>
        <w:pStyle w:val="Default"/>
        <w:spacing w:line="360" w:lineRule="auto"/>
        <w:rPr>
          <w:rFonts w:hAnsi="宋体"/>
          <w:color w:val="auto"/>
        </w:rPr>
      </w:pPr>
      <w:r w:rsidRPr="00C54645">
        <w:rPr>
          <w:rFonts w:hAnsi="宋体" w:hint="eastAsia"/>
          <w:color w:val="auto"/>
        </w:rPr>
        <w:t>一、本期业绩预计情况</w:t>
      </w:r>
      <w:r w:rsidRPr="00C54645">
        <w:rPr>
          <w:rFonts w:hAnsi="宋体"/>
          <w:color w:val="auto"/>
        </w:rPr>
        <w:t xml:space="preserve"> </w:t>
      </w:r>
    </w:p>
    <w:p w:rsidR="00375E09" w:rsidRPr="00C54645" w:rsidRDefault="00375E09" w:rsidP="00306C27">
      <w:pPr>
        <w:pStyle w:val="Default"/>
        <w:spacing w:line="360" w:lineRule="auto"/>
        <w:ind w:firstLineChars="200" w:firstLine="480"/>
        <w:rPr>
          <w:rFonts w:hAnsi="宋体"/>
          <w:color w:val="auto"/>
        </w:rPr>
      </w:pPr>
      <w:r w:rsidRPr="00C54645">
        <w:rPr>
          <w:rFonts w:hAnsi="宋体"/>
          <w:color w:val="auto"/>
        </w:rPr>
        <w:t>1</w:t>
      </w:r>
      <w:r w:rsidRPr="00C54645">
        <w:rPr>
          <w:rFonts w:hAnsi="宋体" w:hint="eastAsia"/>
          <w:color w:val="auto"/>
        </w:rPr>
        <w:t>、业绩预告期间：</w:t>
      </w:r>
      <w:r w:rsidRPr="00C54645">
        <w:rPr>
          <w:rFonts w:hAnsi="宋体"/>
          <w:color w:val="auto"/>
        </w:rPr>
        <w:t>201</w:t>
      </w:r>
      <w:r w:rsidR="00210767">
        <w:rPr>
          <w:rFonts w:hAnsi="宋体" w:hint="eastAsia"/>
          <w:color w:val="auto"/>
        </w:rPr>
        <w:t>7</w:t>
      </w:r>
      <w:r w:rsidRPr="00C54645">
        <w:rPr>
          <w:rFonts w:hAnsi="宋体" w:hint="eastAsia"/>
          <w:color w:val="auto"/>
        </w:rPr>
        <w:t>年</w:t>
      </w:r>
      <w:r w:rsidRPr="00C54645">
        <w:rPr>
          <w:rFonts w:hAnsi="宋体"/>
          <w:color w:val="auto"/>
        </w:rPr>
        <w:t>1</w:t>
      </w:r>
      <w:r w:rsidRPr="00C54645">
        <w:rPr>
          <w:rFonts w:hAnsi="宋体" w:hint="eastAsia"/>
          <w:color w:val="auto"/>
        </w:rPr>
        <w:t>月</w:t>
      </w:r>
      <w:r w:rsidRPr="00C54645">
        <w:rPr>
          <w:rFonts w:hAnsi="宋体"/>
          <w:color w:val="auto"/>
        </w:rPr>
        <w:t>1</w:t>
      </w:r>
      <w:r w:rsidRPr="00C54645">
        <w:rPr>
          <w:rFonts w:hAnsi="宋体" w:hint="eastAsia"/>
          <w:color w:val="auto"/>
        </w:rPr>
        <w:t>日至</w:t>
      </w:r>
      <w:r w:rsidRPr="00C54645">
        <w:rPr>
          <w:rFonts w:hAnsi="宋体"/>
          <w:color w:val="auto"/>
        </w:rPr>
        <w:t>201</w:t>
      </w:r>
      <w:r w:rsidR="00210767">
        <w:rPr>
          <w:rFonts w:hAnsi="宋体" w:hint="eastAsia"/>
          <w:color w:val="auto"/>
        </w:rPr>
        <w:t>7</w:t>
      </w:r>
      <w:r w:rsidRPr="00C54645">
        <w:rPr>
          <w:rFonts w:hAnsi="宋体" w:hint="eastAsia"/>
          <w:color w:val="auto"/>
        </w:rPr>
        <w:t>年</w:t>
      </w:r>
      <w:r w:rsidRPr="00C54645">
        <w:rPr>
          <w:rFonts w:hAnsi="宋体"/>
          <w:color w:val="auto"/>
        </w:rPr>
        <w:t>3</w:t>
      </w:r>
      <w:r w:rsidRPr="00C54645">
        <w:rPr>
          <w:rFonts w:hAnsi="宋体" w:hint="eastAsia"/>
          <w:color w:val="auto"/>
        </w:rPr>
        <w:t>月</w:t>
      </w:r>
      <w:r w:rsidRPr="00C54645">
        <w:rPr>
          <w:rFonts w:hAnsi="宋体"/>
          <w:color w:val="auto"/>
        </w:rPr>
        <w:t>31</w:t>
      </w:r>
      <w:r w:rsidRPr="00C54645">
        <w:rPr>
          <w:rFonts w:hAnsi="宋体" w:hint="eastAsia"/>
          <w:color w:val="auto"/>
        </w:rPr>
        <w:t>日</w:t>
      </w:r>
      <w:r w:rsidRPr="00C54645">
        <w:rPr>
          <w:rFonts w:hAnsi="宋体"/>
          <w:color w:val="auto"/>
        </w:rPr>
        <w:t xml:space="preserve"> </w:t>
      </w:r>
    </w:p>
    <w:p w:rsidR="00375E09" w:rsidRPr="00C54645" w:rsidRDefault="00375E09" w:rsidP="00306C27">
      <w:pPr>
        <w:pStyle w:val="Default"/>
        <w:spacing w:line="360" w:lineRule="auto"/>
        <w:ind w:firstLineChars="200" w:firstLine="480"/>
        <w:rPr>
          <w:rFonts w:hAnsi="宋体" w:cs="Times New Roman"/>
          <w:color w:val="auto"/>
        </w:rPr>
      </w:pPr>
      <w:r w:rsidRPr="00C54645">
        <w:rPr>
          <w:rFonts w:hAnsi="宋体"/>
          <w:color w:val="auto"/>
        </w:rPr>
        <w:t>2</w:t>
      </w:r>
      <w:r w:rsidRPr="00C54645">
        <w:rPr>
          <w:rFonts w:hAnsi="宋体" w:hint="eastAsia"/>
          <w:color w:val="auto"/>
        </w:rPr>
        <w:t>、预计的业绩：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5"/>
        <w:gridCol w:w="4283"/>
        <w:gridCol w:w="2294"/>
      </w:tblGrid>
      <w:tr w:rsidR="00375E09" w:rsidRPr="00210767">
        <w:trPr>
          <w:trHeight w:val="540"/>
        </w:trPr>
        <w:tc>
          <w:tcPr>
            <w:tcW w:w="1945" w:type="dxa"/>
            <w:vAlign w:val="center"/>
          </w:tcPr>
          <w:p w:rsidR="00375E09" w:rsidRPr="00B175CC" w:rsidRDefault="00375E09" w:rsidP="00FB18F5">
            <w:r w:rsidRPr="00B175CC">
              <w:rPr>
                <w:rFonts w:cs="宋体" w:hint="eastAsia"/>
              </w:rPr>
              <w:t>项目</w:t>
            </w:r>
          </w:p>
        </w:tc>
        <w:tc>
          <w:tcPr>
            <w:tcW w:w="4283" w:type="dxa"/>
            <w:vAlign w:val="center"/>
          </w:tcPr>
          <w:p w:rsidR="00375E09" w:rsidRPr="00B175CC" w:rsidRDefault="00375E09" w:rsidP="00FB18F5">
            <w:r w:rsidRPr="00B175CC">
              <w:rPr>
                <w:rFonts w:cs="宋体" w:hint="eastAsia"/>
              </w:rPr>
              <w:t>本报告期</w:t>
            </w:r>
          </w:p>
        </w:tc>
        <w:tc>
          <w:tcPr>
            <w:tcW w:w="2294" w:type="dxa"/>
            <w:vAlign w:val="center"/>
          </w:tcPr>
          <w:p w:rsidR="00375E09" w:rsidRPr="00B175CC" w:rsidRDefault="00375E09" w:rsidP="00FB18F5">
            <w:r w:rsidRPr="00B175CC">
              <w:rPr>
                <w:rFonts w:cs="宋体" w:hint="eastAsia"/>
              </w:rPr>
              <w:t>上年同期</w:t>
            </w:r>
          </w:p>
        </w:tc>
      </w:tr>
      <w:tr w:rsidR="00375E09" w:rsidRPr="00210767">
        <w:trPr>
          <w:trHeight w:val="462"/>
        </w:trPr>
        <w:tc>
          <w:tcPr>
            <w:tcW w:w="1945" w:type="dxa"/>
            <w:vMerge w:val="restart"/>
            <w:vAlign w:val="center"/>
          </w:tcPr>
          <w:p w:rsidR="00375E09" w:rsidRPr="00B175CC" w:rsidRDefault="00375E09" w:rsidP="00FB18F5">
            <w:r w:rsidRPr="00B175CC">
              <w:rPr>
                <w:rFonts w:cs="宋体" w:hint="eastAsia"/>
              </w:rPr>
              <w:t>归属于上市公司股东的净利润</w:t>
            </w:r>
          </w:p>
        </w:tc>
        <w:tc>
          <w:tcPr>
            <w:tcW w:w="4283" w:type="dxa"/>
            <w:vAlign w:val="center"/>
          </w:tcPr>
          <w:p w:rsidR="00375E09" w:rsidRPr="00E87202" w:rsidRDefault="00267FF2" w:rsidP="007E2D97">
            <w:pPr>
              <w:pStyle w:val="Default"/>
              <w:spacing w:line="360" w:lineRule="auto"/>
              <w:jc w:val="both"/>
              <w:rPr>
                <w:rFonts w:hAnsi="宋体"/>
                <w:color w:val="auto"/>
              </w:rPr>
            </w:pPr>
            <w:r w:rsidRPr="00E87202">
              <w:rPr>
                <w:rFonts w:hAnsi="宋体" w:hint="eastAsia"/>
                <w:color w:val="auto"/>
              </w:rPr>
              <w:t>比上年同期增长：</w:t>
            </w:r>
            <w:r w:rsidR="007E2D97" w:rsidRPr="00E87202" w:rsidDel="007E2D97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="0025243F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3</w:t>
            </w:r>
            <w:r w:rsidR="00467365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0</w:t>
            </w:r>
            <w:r w:rsidR="0026444D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%-</w:t>
            </w:r>
            <w:r w:rsidR="00467365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50</w:t>
            </w:r>
            <w:r w:rsidR="0026444D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%</w:t>
            </w:r>
          </w:p>
        </w:tc>
        <w:tc>
          <w:tcPr>
            <w:tcW w:w="2294" w:type="dxa"/>
            <w:vMerge w:val="restart"/>
            <w:vAlign w:val="center"/>
          </w:tcPr>
          <w:p w:rsidR="00B96109" w:rsidRPr="00B175CC" w:rsidRDefault="00267FF2" w:rsidP="00467365">
            <w:r w:rsidRPr="00B175CC">
              <w:rPr>
                <w:rFonts w:hint="eastAsia"/>
              </w:rPr>
              <w:t>盈利：</w:t>
            </w:r>
            <w:r w:rsidR="007E2D97" w:rsidRPr="00B175CC">
              <w:rPr>
                <w:rFonts w:hint="eastAsia"/>
              </w:rPr>
              <w:t>3,</w:t>
            </w:r>
            <w:r w:rsidR="00467365">
              <w:rPr>
                <w:rFonts w:hint="eastAsia"/>
              </w:rPr>
              <w:t>742</w:t>
            </w:r>
            <w:r w:rsidR="007E2D97" w:rsidRPr="00B175CC">
              <w:rPr>
                <w:rFonts w:hint="eastAsia"/>
              </w:rPr>
              <w:t>.7</w:t>
            </w:r>
            <w:r w:rsidR="00467365">
              <w:rPr>
                <w:rFonts w:hint="eastAsia"/>
              </w:rPr>
              <w:t>1</w:t>
            </w:r>
            <w:r w:rsidR="00B96109" w:rsidRPr="00B175CC">
              <w:rPr>
                <w:rFonts w:hint="eastAsia"/>
              </w:rPr>
              <w:t>万元</w:t>
            </w:r>
          </w:p>
        </w:tc>
      </w:tr>
      <w:tr w:rsidR="00375E09" w:rsidRPr="0066564F">
        <w:trPr>
          <w:trHeight w:val="610"/>
        </w:trPr>
        <w:tc>
          <w:tcPr>
            <w:tcW w:w="0" w:type="auto"/>
            <w:vMerge/>
            <w:vAlign w:val="center"/>
          </w:tcPr>
          <w:p w:rsidR="00375E09" w:rsidRPr="00210767" w:rsidRDefault="00375E09" w:rsidP="00FB18F5">
            <w:pPr>
              <w:rPr>
                <w:highlight w:val="yellow"/>
              </w:rPr>
            </w:pPr>
          </w:p>
        </w:tc>
        <w:tc>
          <w:tcPr>
            <w:tcW w:w="4283" w:type="dxa"/>
            <w:vAlign w:val="center"/>
          </w:tcPr>
          <w:p w:rsidR="00375E09" w:rsidRPr="00E87202" w:rsidRDefault="00267FF2" w:rsidP="0025243F">
            <w:pPr>
              <w:pStyle w:val="Default"/>
              <w:spacing w:line="360" w:lineRule="auto"/>
              <w:jc w:val="both"/>
              <w:rPr>
                <w:rFonts w:hAnsi="宋体"/>
                <w:color w:val="auto"/>
              </w:rPr>
            </w:pPr>
            <w:r w:rsidRPr="00E87202">
              <w:rPr>
                <w:rFonts w:hAnsi="宋体" w:hint="eastAsia"/>
                <w:color w:val="auto"/>
              </w:rPr>
              <w:t>盈利：</w:t>
            </w:r>
            <w:r w:rsidR="00467365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4</w:t>
            </w:r>
            <w:r w:rsidR="00F83D37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,</w:t>
            </w:r>
            <w:r w:rsidR="0025243F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865</w:t>
            </w:r>
            <w:r w:rsidR="007E2D97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.</w:t>
            </w:r>
            <w:r w:rsidR="0025243F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5</w:t>
            </w:r>
            <w:r w:rsidR="009C4305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2</w:t>
            </w:r>
            <w:r w:rsidR="00B96109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万元—</w:t>
            </w:r>
            <w:r w:rsidR="00467365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5</w:t>
            </w:r>
            <w:r w:rsidR="00F83D37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,</w:t>
            </w:r>
            <w:r w:rsidR="00A8198C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614</w:t>
            </w:r>
            <w:r w:rsidR="007E2D97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.</w:t>
            </w:r>
            <w:r w:rsidR="00467365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0</w:t>
            </w:r>
            <w:r w:rsidR="00A8198C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7</w:t>
            </w:r>
            <w:r w:rsidR="007E2D97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万</w:t>
            </w:r>
            <w:r w:rsidR="00B96109" w:rsidRPr="00E87202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元</w:t>
            </w:r>
          </w:p>
        </w:tc>
        <w:tc>
          <w:tcPr>
            <w:tcW w:w="2294" w:type="dxa"/>
            <w:vMerge/>
            <w:vAlign w:val="center"/>
          </w:tcPr>
          <w:p w:rsidR="00375E09" w:rsidRPr="00B96109" w:rsidRDefault="00375E09" w:rsidP="00FB18F5"/>
        </w:tc>
      </w:tr>
    </w:tbl>
    <w:p w:rsidR="00375E09" w:rsidRDefault="00375E09" w:rsidP="009D73E2">
      <w:pPr>
        <w:pStyle w:val="Default"/>
        <w:rPr>
          <w:rFonts w:cs="Times New Roman"/>
        </w:rPr>
      </w:pPr>
    </w:p>
    <w:p w:rsidR="00375E09" w:rsidRPr="009D73E2" w:rsidRDefault="00375E09" w:rsidP="009D73E2">
      <w:pPr>
        <w:pStyle w:val="Default"/>
        <w:spacing w:line="360" w:lineRule="auto"/>
        <w:rPr>
          <w:color w:val="auto"/>
        </w:rPr>
      </w:pPr>
      <w:r w:rsidRPr="009D73E2">
        <w:rPr>
          <w:rFonts w:hint="eastAsia"/>
          <w:color w:val="auto"/>
        </w:rPr>
        <w:t>二、业绩预告预审计情况</w:t>
      </w:r>
      <w:r w:rsidRPr="009D73E2">
        <w:rPr>
          <w:color w:val="auto"/>
        </w:rPr>
        <w:t xml:space="preserve"> </w:t>
      </w:r>
    </w:p>
    <w:p w:rsidR="00375E09" w:rsidRDefault="0045129B" w:rsidP="00306C27">
      <w:pPr>
        <w:pStyle w:val="Default"/>
        <w:spacing w:line="360" w:lineRule="auto"/>
        <w:ind w:firstLineChars="200" w:firstLine="480"/>
        <w:rPr>
          <w:color w:val="auto"/>
        </w:rPr>
      </w:pPr>
      <w:proofErr w:type="gramStart"/>
      <w:r>
        <w:rPr>
          <w:rFonts w:hint="eastAsia"/>
          <w:color w:val="auto"/>
        </w:rPr>
        <w:t>本</w:t>
      </w:r>
      <w:r w:rsidR="00375E09" w:rsidRPr="009D73E2">
        <w:rPr>
          <w:rFonts w:hint="eastAsia"/>
          <w:color w:val="auto"/>
        </w:rPr>
        <w:t>业绩</w:t>
      </w:r>
      <w:proofErr w:type="gramEnd"/>
      <w:r w:rsidR="00375E09" w:rsidRPr="009D73E2">
        <w:rPr>
          <w:rFonts w:hint="eastAsia"/>
          <w:color w:val="auto"/>
        </w:rPr>
        <w:t>预告未经</w:t>
      </w:r>
      <w:r w:rsidR="00375E09">
        <w:rPr>
          <w:rFonts w:hint="eastAsia"/>
          <w:color w:val="auto"/>
        </w:rPr>
        <w:t>会计师事务所审计</w:t>
      </w:r>
      <w:r w:rsidR="00375E09" w:rsidRPr="009D73E2">
        <w:rPr>
          <w:rFonts w:hint="eastAsia"/>
          <w:color w:val="auto"/>
        </w:rPr>
        <w:t>。</w:t>
      </w:r>
      <w:r w:rsidR="00375E09" w:rsidRPr="009D73E2">
        <w:rPr>
          <w:color w:val="auto"/>
        </w:rPr>
        <w:t xml:space="preserve"> </w:t>
      </w:r>
    </w:p>
    <w:p w:rsidR="00360839" w:rsidRPr="009D73E2" w:rsidRDefault="00360839" w:rsidP="00306C27">
      <w:pPr>
        <w:pStyle w:val="Default"/>
        <w:spacing w:line="360" w:lineRule="auto"/>
        <w:ind w:firstLineChars="200" w:firstLine="480"/>
        <w:rPr>
          <w:color w:val="auto"/>
        </w:rPr>
      </w:pPr>
    </w:p>
    <w:p w:rsidR="00375E09" w:rsidRDefault="00375E09" w:rsidP="009D73E2">
      <w:pPr>
        <w:pStyle w:val="Default"/>
        <w:spacing w:line="360" w:lineRule="auto"/>
        <w:rPr>
          <w:color w:val="auto"/>
        </w:rPr>
      </w:pPr>
      <w:r w:rsidRPr="009D73E2">
        <w:rPr>
          <w:rFonts w:hint="eastAsia"/>
          <w:color w:val="auto"/>
        </w:rPr>
        <w:t>三、业绩变动原因说明</w:t>
      </w:r>
      <w:r w:rsidRPr="009D73E2">
        <w:rPr>
          <w:color w:val="auto"/>
        </w:rPr>
        <w:t xml:space="preserve"> </w:t>
      </w:r>
    </w:p>
    <w:p w:rsidR="00F52C6C" w:rsidRDefault="003F3347" w:rsidP="00306C27">
      <w:pPr>
        <w:pStyle w:val="Default"/>
        <w:spacing w:line="360" w:lineRule="auto"/>
        <w:ind w:firstLineChars="200" w:firstLine="480"/>
        <w:rPr>
          <w:color w:val="auto"/>
        </w:rPr>
      </w:pPr>
      <w:r w:rsidRPr="00B96109">
        <w:rPr>
          <w:rFonts w:hint="eastAsia"/>
          <w:color w:val="auto"/>
        </w:rPr>
        <w:t>主要原因为公司</w:t>
      </w:r>
      <w:r w:rsidR="0045129B">
        <w:rPr>
          <w:rFonts w:hint="eastAsia"/>
          <w:color w:val="auto"/>
        </w:rPr>
        <w:t>扩产产能逐渐释放，</w:t>
      </w:r>
      <w:r w:rsidRPr="00B96109">
        <w:rPr>
          <w:rFonts w:hint="eastAsia"/>
          <w:color w:val="auto"/>
        </w:rPr>
        <w:t>销售收入增加所致。</w:t>
      </w:r>
    </w:p>
    <w:p w:rsidR="00360839" w:rsidRPr="003F3347" w:rsidRDefault="00360839" w:rsidP="00306C27">
      <w:pPr>
        <w:pStyle w:val="Default"/>
        <w:spacing w:line="360" w:lineRule="auto"/>
        <w:ind w:firstLineChars="200" w:firstLine="480"/>
        <w:rPr>
          <w:rFonts w:cs="Times New Roman"/>
          <w:color w:val="auto"/>
        </w:rPr>
      </w:pPr>
    </w:p>
    <w:p w:rsidR="00375E09" w:rsidRPr="009D73E2" w:rsidRDefault="00375E09" w:rsidP="009D73E2">
      <w:pPr>
        <w:pStyle w:val="Default"/>
        <w:spacing w:line="360" w:lineRule="auto"/>
        <w:rPr>
          <w:rFonts w:hAnsi="Times New Roman"/>
          <w:color w:val="auto"/>
        </w:rPr>
      </w:pPr>
      <w:r w:rsidRPr="009D73E2">
        <w:rPr>
          <w:rFonts w:hAnsi="Times New Roman" w:hint="eastAsia"/>
          <w:color w:val="auto"/>
        </w:rPr>
        <w:t>四、其他说明</w:t>
      </w:r>
      <w:r w:rsidRPr="009D73E2">
        <w:rPr>
          <w:rFonts w:hAnsi="Times New Roman"/>
          <w:color w:val="auto"/>
        </w:rPr>
        <w:t xml:space="preserve"> </w:t>
      </w:r>
    </w:p>
    <w:p w:rsidR="00360839" w:rsidRDefault="00375E09" w:rsidP="003F3347">
      <w:pPr>
        <w:pStyle w:val="Default"/>
        <w:spacing w:line="360" w:lineRule="auto"/>
        <w:ind w:firstLineChars="200" w:firstLine="480"/>
        <w:rPr>
          <w:rFonts w:hAnsi="Times New Roman"/>
          <w:color w:val="auto"/>
        </w:rPr>
      </w:pPr>
      <w:r w:rsidRPr="009D73E2">
        <w:rPr>
          <w:rFonts w:hAnsi="Times New Roman" w:hint="eastAsia"/>
          <w:color w:val="auto"/>
        </w:rPr>
        <w:t>本次业绩预告是公司财务部门初步测算的结果，具体财务数据将在公</w:t>
      </w:r>
      <w:r w:rsidRPr="007A7F00">
        <w:rPr>
          <w:rFonts w:asciiTheme="minorEastAsia" w:eastAsiaTheme="minorEastAsia" w:hAnsiTheme="minorEastAsia" w:hint="eastAsia"/>
          <w:color w:val="auto"/>
        </w:rPr>
        <w:t>司</w:t>
      </w:r>
      <w:r w:rsidR="00E87202" w:rsidRPr="007A7F00">
        <w:rPr>
          <w:rFonts w:asciiTheme="minorEastAsia" w:eastAsiaTheme="minorEastAsia" w:hAnsiTheme="minorEastAsia" w:cs="Times New Roman"/>
          <w:color w:val="auto"/>
        </w:rPr>
        <w:t>201</w:t>
      </w:r>
      <w:r w:rsidR="00E87202">
        <w:rPr>
          <w:rFonts w:asciiTheme="minorEastAsia" w:eastAsiaTheme="minorEastAsia" w:hAnsiTheme="minorEastAsia" w:cs="Times New Roman" w:hint="eastAsia"/>
          <w:color w:val="auto"/>
        </w:rPr>
        <w:t>7</w:t>
      </w:r>
      <w:r w:rsidRPr="009D73E2">
        <w:rPr>
          <w:rFonts w:hAnsi="Times New Roman" w:hint="eastAsia"/>
          <w:color w:val="auto"/>
        </w:rPr>
        <w:t>年第一季度报告中详细披露。敬请广大投资者谨慎决策，注意投资风险。</w:t>
      </w:r>
    </w:p>
    <w:p w:rsidR="00D36B1B" w:rsidRPr="00A779B4" w:rsidRDefault="00375E09" w:rsidP="003F3347">
      <w:pPr>
        <w:pStyle w:val="Default"/>
        <w:spacing w:line="360" w:lineRule="auto"/>
        <w:ind w:firstLineChars="200" w:firstLine="480"/>
        <w:rPr>
          <w:rFonts w:hAnsi="Times New Roman"/>
          <w:color w:val="auto"/>
        </w:rPr>
      </w:pPr>
      <w:r w:rsidRPr="009D73E2">
        <w:rPr>
          <w:rFonts w:hAnsi="Times New Roman"/>
          <w:color w:val="auto"/>
        </w:rPr>
        <w:t xml:space="preserve"> </w:t>
      </w:r>
    </w:p>
    <w:p w:rsidR="00375E09" w:rsidRPr="009D73E2" w:rsidRDefault="00375E09" w:rsidP="00D36B1B">
      <w:pPr>
        <w:pStyle w:val="Default"/>
        <w:spacing w:line="360" w:lineRule="auto"/>
        <w:ind w:firstLineChars="200" w:firstLine="480"/>
        <w:rPr>
          <w:rFonts w:hAnsi="Times New Roman"/>
          <w:color w:val="auto"/>
        </w:rPr>
      </w:pPr>
      <w:r w:rsidRPr="009D73E2">
        <w:rPr>
          <w:rFonts w:hAnsi="Times New Roman" w:hint="eastAsia"/>
          <w:color w:val="auto"/>
        </w:rPr>
        <w:t>特此公告。</w:t>
      </w:r>
      <w:r w:rsidRPr="009D73E2">
        <w:rPr>
          <w:rFonts w:hAnsi="Times New Roman"/>
          <w:color w:val="auto"/>
        </w:rPr>
        <w:t xml:space="preserve"> </w:t>
      </w:r>
    </w:p>
    <w:p w:rsidR="00D36B1B" w:rsidRDefault="00D36B1B" w:rsidP="00F64389">
      <w:pPr>
        <w:pStyle w:val="Default"/>
        <w:spacing w:line="360" w:lineRule="auto"/>
        <w:jc w:val="right"/>
        <w:rPr>
          <w:rFonts w:hAnsi="Times New Roman"/>
          <w:color w:val="auto"/>
        </w:rPr>
      </w:pPr>
    </w:p>
    <w:p w:rsidR="002B4DB2" w:rsidRDefault="00375E09" w:rsidP="003F3347">
      <w:pPr>
        <w:pStyle w:val="Default"/>
        <w:spacing w:line="360" w:lineRule="auto"/>
        <w:jc w:val="right"/>
        <w:rPr>
          <w:rFonts w:hAnsi="Times New Roman"/>
          <w:color w:val="auto"/>
        </w:rPr>
      </w:pPr>
      <w:r w:rsidRPr="009D73E2">
        <w:rPr>
          <w:rFonts w:hAnsi="Times New Roman" w:hint="eastAsia"/>
          <w:color w:val="auto"/>
        </w:rPr>
        <w:t>佛山市国</w:t>
      </w:r>
      <w:proofErr w:type="gramStart"/>
      <w:r w:rsidRPr="009D73E2">
        <w:rPr>
          <w:rFonts w:hAnsi="Times New Roman" w:hint="eastAsia"/>
          <w:color w:val="auto"/>
        </w:rPr>
        <w:t>星光电</w:t>
      </w:r>
      <w:proofErr w:type="gramEnd"/>
      <w:r w:rsidRPr="009D73E2">
        <w:rPr>
          <w:rFonts w:hAnsi="Times New Roman" w:hint="eastAsia"/>
          <w:color w:val="auto"/>
        </w:rPr>
        <w:t>股份有限公司</w:t>
      </w:r>
    </w:p>
    <w:p w:rsidR="00375E09" w:rsidRPr="009D73E2" w:rsidRDefault="00375E09" w:rsidP="002B4DB2">
      <w:pPr>
        <w:pStyle w:val="Default"/>
        <w:spacing w:line="360" w:lineRule="auto"/>
        <w:ind w:right="480" w:firstLineChars="2600" w:firstLine="6240"/>
        <w:rPr>
          <w:rFonts w:hAnsi="Times New Roman"/>
          <w:color w:val="auto"/>
        </w:rPr>
      </w:pPr>
      <w:r w:rsidRPr="009D73E2">
        <w:rPr>
          <w:rFonts w:hAnsi="Times New Roman" w:hint="eastAsia"/>
          <w:color w:val="auto"/>
        </w:rPr>
        <w:t>董事会</w:t>
      </w:r>
      <w:r w:rsidRPr="009D73E2">
        <w:rPr>
          <w:rFonts w:hAnsi="Times New Roman"/>
          <w:color w:val="auto"/>
        </w:rPr>
        <w:t xml:space="preserve"> </w:t>
      </w:r>
    </w:p>
    <w:p w:rsidR="00375E09" w:rsidRPr="00D35859" w:rsidRDefault="006B4FD7" w:rsidP="00D35859">
      <w:pPr>
        <w:pStyle w:val="Default"/>
        <w:spacing w:line="360" w:lineRule="auto"/>
        <w:ind w:right="480" w:firstLineChars="2450" w:firstLine="5880"/>
        <w:rPr>
          <w:rFonts w:hAnsi="Times New Roman"/>
          <w:color w:val="auto"/>
        </w:rPr>
      </w:pPr>
      <w:r w:rsidRPr="00B96109">
        <w:rPr>
          <w:rFonts w:hAnsi="Times New Roman"/>
          <w:color w:val="auto"/>
        </w:rPr>
        <w:t>201</w:t>
      </w:r>
      <w:r w:rsidR="00210767">
        <w:rPr>
          <w:rFonts w:hAnsi="Times New Roman" w:hint="eastAsia"/>
          <w:color w:val="auto"/>
        </w:rPr>
        <w:t>7</w:t>
      </w:r>
      <w:r w:rsidR="00375E09" w:rsidRPr="00B96109">
        <w:rPr>
          <w:rFonts w:hAnsi="Times New Roman" w:hint="eastAsia"/>
          <w:color w:val="auto"/>
        </w:rPr>
        <w:t>年</w:t>
      </w:r>
      <w:r w:rsidR="00375E09" w:rsidRPr="00B96109">
        <w:rPr>
          <w:rFonts w:hAnsi="Times New Roman"/>
          <w:color w:val="auto"/>
        </w:rPr>
        <w:t>3</w:t>
      </w:r>
      <w:r w:rsidR="00375E09" w:rsidRPr="00B96109">
        <w:rPr>
          <w:rFonts w:hAnsi="Times New Roman" w:hint="eastAsia"/>
          <w:color w:val="auto"/>
        </w:rPr>
        <w:t>月</w:t>
      </w:r>
      <w:r w:rsidR="00FB1C4D" w:rsidRPr="00B96109">
        <w:rPr>
          <w:rFonts w:hAnsi="Times New Roman" w:hint="eastAsia"/>
          <w:color w:val="auto"/>
        </w:rPr>
        <w:t>2</w:t>
      </w:r>
      <w:r w:rsidR="00210767">
        <w:rPr>
          <w:rFonts w:hAnsi="Times New Roman" w:hint="eastAsia"/>
          <w:color w:val="auto"/>
        </w:rPr>
        <w:t>2</w:t>
      </w:r>
      <w:r w:rsidR="00375E09" w:rsidRPr="00B96109">
        <w:rPr>
          <w:rFonts w:hAnsi="Times New Roman" w:hint="eastAsia"/>
          <w:color w:val="auto"/>
        </w:rPr>
        <w:t>日</w:t>
      </w:r>
    </w:p>
    <w:sectPr w:rsidR="00375E09" w:rsidRPr="00D35859" w:rsidSect="003F5601"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87F" w:rsidRDefault="003D487F" w:rsidP="00BC20B9">
      <w:r>
        <w:separator/>
      </w:r>
    </w:p>
  </w:endnote>
  <w:endnote w:type="continuationSeparator" w:id="0">
    <w:p w:rsidR="003D487F" w:rsidRDefault="003D487F" w:rsidP="00BC2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87F" w:rsidRDefault="003D487F" w:rsidP="00BC20B9">
      <w:r>
        <w:separator/>
      </w:r>
    </w:p>
  </w:footnote>
  <w:footnote w:type="continuationSeparator" w:id="0">
    <w:p w:rsidR="003D487F" w:rsidRDefault="003D487F" w:rsidP="00BC2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0B9"/>
    <w:rsid w:val="000167F8"/>
    <w:rsid w:val="00024323"/>
    <w:rsid w:val="000B01E8"/>
    <w:rsid w:val="000D206B"/>
    <w:rsid w:val="000E7E96"/>
    <w:rsid w:val="00193A1D"/>
    <w:rsid w:val="001A722E"/>
    <w:rsid w:val="001B7E95"/>
    <w:rsid w:val="001D53E1"/>
    <w:rsid w:val="001E065F"/>
    <w:rsid w:val="001E577B"/>
    <w:rsid w:val="001E65EB"/>
    <w:rsid w:val="00207012"/>
    <w:rsid w:val="00210767"/>
    <w:rsid w:val="00224B8E"/>
    <w:rsid w:val="00233A22"/>
    <w:rsid w:val="00240FCC"/>
    <w:rsid w:val="00241823"/>
    <w:rsid w:val="00247557"/>
    <w:rsid w:val="0025243F"/>
    <w:rsid w:val="00253A32"/>
    <w:rsid w:val="0026444D"/>
    <w:rsid w:val="00267FF2"/>
    <w:rsid w:val="00275A8D"/>
    <w:rsid w:val="00284544"/>
    <w:rsid w:val="00297FD1"/>
    <w:rsid w:val="002B3E95"/>
    <w:rsid w:val="002B43F5"/>
    <w:rsid w:val="002B4DB2"/>
    <w:rsid w:val="002C004E"/>
    <w:rsid w:val="002D61A9"/>
    <w:rsid w:val="002F2BCF"/>
    <w:rsid w:val="002F4662"/>
    <w:rsid w:val="00306C27"/>
    <w:rsid w:val="0034213C"/>
    <w:rsid w:val="00342AFB"/>
    <w:rsid w:val="00354E0F"/>
    <w:rsid w:val="00360839"/>
    <w:rsid w:val="00375E09"/>
    <w:rsid w:val="00382859"/>
    <w:rsid w:val="00393FE8"/>
    <w:rsid w:val="003A69F4"/>
    <w:rsid w:val="003B2859"/>
    <w:rsid w:val="003C0BBF"/>
    <w:rsid w:val="003C2750"/>
    <w:rsid w:val="003C7219"/>
    <w:rsid w:val="003D4591"/>
    <w:rsid w:val="003D487F"/>
    <w:rsid w:val="003D743E"/>
    <w:rsid w:val="003E2709"/>
    <w:rsid w:val="003F3347"/>
    <w:rsid w:val="003F5601"/>
    <w:rsid w:val="00434257"/>
    <w:rsid w:val="0045129B"/>
    <w:rsid w:val="00467365"/>
    <w:rsid w:val="004A6806"/>
    <w:rsid w:val="004B0770"/>
    <w:rsid w:val="004B1F0A"/>
    <w:rsid w:val="00526CB3"/>
    <w:rsid w:val="005348E4"/>
    <w:rsid w:val="005615CE"/>
    <w:rsid w:val="005A6C02"/>
    <w:rsid w:val="005B16A3"/>
    <w:rsid w:val="0060623C"/>
    <w:rsid w:val="00622F6D"/>
    <w:rsid w:val="00632FF7"/>
    <w:rsid w:val="00643748"/>
    <w:rsid w:val="00651279"/>
    <w:rsid w:val="00655220"/>
    <w:rsid w:val="0066564F"/>
    <w:rsid w:val="006676EB"/>
    <w:rsid w:val="0067526D"/>
    <w:rsid w:val="006B4FD7"/>
    <w:rsid w:val="006D01DB"/>
    <w:rsid w:val="00702A06"/>
    <w:rsid w:val="00706802"/>
    <w:rsid w:val="00712840"/>
    <w:rsid w:val="00730F5F"/>
    <w:rsid w:val="007440DD"/>
    <w:rsid w:val="007A7F00"/>
    <w:rsid w:val="007B3DA6"/>
    <w:rsid w:val="007B6DB4"/>
    <w:rsid w:val="007E2D97"/>
    <w:rsid w:val="007E58AA"/>
    <w:rsid w:val="008523D0"/>
    <w:rsid w:val="00860D7B"/>
    <w:rsid w:val="0086364E"/>
    <w:rsid w:val="00871F2F"/>
    <w:rsid w:val="0088425D"/>
    <w:rsid w:val="00886C06"/>
    <w:rsid w:val="00886CFE"/>
    <w:rsid w:val="00892089"/>
    <w:rsid w:val="008B234A"/>
    <w:rsid w:val="008D220B"/>
    <w:rsid w:val="008D438E"/>
    <w:rsid w:val="00901D89"/>
    <w:rsid w:val="00914BC2"/>
    <w:rsid w:val="00934566"/>
    <w:rsid w:val="009B13FD"/>
    <w:rsid w:val="009C4305"/>
    <w:rsid w:val="009D73E2"/>
    <w:rsid w:val="00A037EA"/>
    <w:rsid w:val="00A51EB3"/>
    <w:rsid w:val="00A5567D"/>
    <w:rsid w:val="00A715F3"/>
    <w:rsid w:val="00A7770C"/>
    <w:rsid w:val="00A779B4"/>
    <w:rsid w:val="00A8198C"/>
    <w:rsid w:val="00AB0496"/>
    <w:rsid w:val="00AB4A9B"/>
    <w:rsid w:val="00AD1D5C"/>
    <w:rsid w:val="00AF5D4A"/>
    <w:rsid w:val="00AF662E"/>
    <w:rsid w:val="00B175CC"/>
    <w:rsid w:val="00B44CDF"/>
    <w:rsid w:val="00B6195E"/>
    <w:rsid w:val="00B74385"/>
    <w:rsid w:val="00B82B80"/>
    <w:rsid w:val="00B91116"/>
    <w:rsid w:val="00B946C0"/>
    <w:rsid w:val="00B96109"/>
    <w:rsid w:val="00BC20B9"/>
    <w:rsid w:val="00BD6A7A"/>
    <w:rsid w:val="00C32768"/>
    <w:rsid w:val="00C41C79"/>
    <w:rsid w:val="00C47919"/>
    <w:rsid w:val="00C54645"/>
    <w:rsid w:val="00C67B25"/>
    <w:rsid w:val="00CB0716"/>
    <w:rsid w:val="00CB3561"/>
    <w:rsid w:val="00CC53B1"/>
    <w:rsid w:val="00CC59FC"/>
    <w:rsid w:val="00CC61B2"/>
    <w:rsid w:val="00CD45F9"/>
    <w:rsid w:val="00CE2DDE"/>
    <w:rsid w:val="00CE56B3"/>
    <w:rsid w:val="00CF12B9"/>
    <w:rsid w:val="00CF5A6D"/>
    <w:rsid w:val="00D149C2"/>
    <w:rsid w:val="00D31DC3"/>
    <w:rsid w:val="00D35859"/>
    <w:rsid w:val="00D36B1B"/>
    <w:rsid w:val="00D657F5"/>
    <w:rsid w:val="00D9060C"/>
    <w:rsid w:val="00D962C1"/>
    <w:rsid w:val="00DD02BE"/>
    <w:rsid w:val="00E2677C"/>
    <w:rsid w:val="00E427E1"/>
    <w:rsid w:val="00E507CB"/>
    <w:rsid w:val="00E545A4"/>
    <w:rsid w:val="00E62284"/>
    <w:rsid w:val="00E85F60"/>
    <w:rsid w:val="00E87202"/>
    <w:rsid w:val="00E9694C"/>
    <w:rsid w:val="00EC2BFB"/>
    <w:rsid w:val="00EC52CE"/>
    <w:rsid w:val="00EC6489"/>
    <w:rsid w:val="00ED3A67"/>
    <w:rsid w:val="00EF68E3"/>
    <w:rsid w:val="00F0707E"/>
    <w:rsid w:val="00F454C7"/>
    <w:rsid w:val="00F52C6C"/>
    <w:rsid w:val="00F63BF1"/>
    <w:rsid w:val="00F64389"/>
    <w:rsid w:val="00F6509F"/>
    <w:rsid w:val="00F66433"/>
    <w:rsid w:val="00F808F1"/>
    <w:rsid w:val="00F83D37"/>
    <w:rsid w:val="00FB18F5"/>
    <w:rsid w:val="00FB1C4D"/>
    <w:rsid w:val="00FC3BBA"/>
    <w:rsid w:val="00FC4A42"/>
    <w:rsid w:val="00FF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C2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C20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C20B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C20B9"/>
    <w:rPr>
      <w:sz w:val="18"/>
      <w:szCs w:val="18"/>
    </w:rPr>
  </w:style>
  <w:style w:type="paragraph" w:customStyle="1" w:styleId="Default">
    <w:name w:val="Default"/>
    <w:uiPriority w:val="99"/>
    <w:rsid w:val="00BC20B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7E2D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2D9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22</cp:revision>
  <cp:lastPrinted>2015-02-15T01:49:00Z</cp:lastPrinted>
  <dcterms:created xsi:type="dcterms:W3CDTF">2016-03-24T02:54:00Z</dcterms:created>
  <dcterms:modified xsi:type="dcterms:W3CDTF">2017-03-20T06:49:00Z</dcterms:modified>
</cp:coreProperties>
</file>